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5"/>
        <w:tblW w:w="0" w:type="auto"/>
        <w:tblLook w:val="04A0" w:firstRow="1" w:lastRow="0" w:firstColumn="1" w:lastColumn="0" w:noHBand="0" w:noVBand="1"/>
      </w:tblPr>
      <w:tblGrid>
        <w:gridCol w:w="2156"/>
        <w:gridCol w:w="6906"/>
      </w:tblGrid>
      <w:tr w:rsidR="003919C4" w:rsidRPr="00F032F7" w:rsidTr="00E20BCC">
        <w:trPr>
          <w:trHeight w:val="567"/>
        </w:trPr>
        <w:tc>
          <w:tcPr>
            <w:tcW w:w="2243" w:type="dxa"/>
            <w:vAlign w:val="center"/>
          </w:tcPr>
          <w:p w:rsidR="003919C4" w:rsidRPr="00F032F7" w:rsidRDefault="003919C4" w:rsidP="00E20BCC">
            <w:pPr>
              <w:spacing w:after="100" w:afterAutospacing="1" w:line="240" w:lineRule="auto"/>
              <w:jc w:val="center"/>
              <w:rPr>
                <w:b/>
                <w:i w:val="0"/>
                <w:sz w:val="24"/>
                <w:szCs w:val="24"/>
                <w:lang w:val="tr-TR"/>
              </w:rPr>
            </w:pPr>
            <w:r w:rsidRPr="00F032F7">
              <w:rPr>
                <w:b/>
                <w:i w:val="0"/>
                <w:sz w:val="24"/>
                <w:szCs w:val="24"/>
                <w:lang w:val="tr-TR"/>
              </w:rPr>
              <w:t>OPERASYON VE LOJİSTİK EKİPLER</w:t>
            </w:r>
          </w:p>
        </w:tc>
        <w:tc>
          <w:tcPr>
            <w:tcW w:w="7613" w:type="dxa"/>
            <w:vAlign w:val="center"/>
          </w:tcPr>
          <w:p w:rsidR="003919C4" w:rsidRPr="00F032F7" w:rsidRDefault="003919C4" w:rsidP="00E20BCC">
            <w:pPr>
              <w:spacing w:after="100" w:afterAutospacing="1" w:line="240" w:lineRule="auto"/>
              <w:jc w:val="center"/>
              <w:rPr>
                <w:b/>
                <w:i w:val="0"/>
                <w:sz w:val="24"/>
                <w:szCs w:val="24"/>
                <w:lang w:val="tr-TR"/>
              </w:rPr>
            </w:pPr>
            <w:r w:rsidRPr="00F032F7">
              <w:rPr>
                <w:b/>
                <w:i w:val="0"/>
                <w:sz w:val="24"/>
                <w:szCs w:val="24"/>
                <w:lang w:val="tr-TR"/>
              </w:rPr>
              <w:t>YAPILACAKLAR LİSTESİ</w:t>
            </w:r>
          </w:p>
        </w:tc>
      </w:tr>
      <w:tr w:rsidR="003919C4" w:rsidRPr="00F032F7" w:rsidTr="00E20BCC">
        <w:trPr>
          <w:trHeight w:val="3486"/>
        </w:trPr>
        <w:tc>
          <w:tcPr>
            <w:tcW w:w="2243" w:type="dxa"/>
            <w:vAlign w:val="center"/>
          </w:tcPr>
          <w:p w:rsidR="003919C4" w:rsidRPr="00F032F7" w:rsidRDefault="003919C4" w:rsidP="00E20BCC">
            <w:pPr>
              <w:spacing w:after="100" w:afterAutospacing="1" w:line="240" w:lineRule="auto"/>
              <w:jc w:val="center"/>
              <w:rPr>
                <w:i w:val="0"/>
                <w:sz w:val="24"/>
                <w:szCs w:val="24"/>
                <w:lang w:val="tr-TR"/>
              </w:rPr>
            </w:pPr>
            <w:r w:rsidRPr="00F032F7">
              <w:rPr>
                <w:b/>
                <w:i w:val="0"/>
                <w:sz w:val="24"/>
                <w:szCs w:val="24"/>
                <w:lang w:val="tr-TR"/>
              </w:rPr>
              <w:t>Çadır Kurulum Ekipleri</w:t>
            </w:r>
          </w:p>
        </w:tc>
        <w:tc>
          <w:tcPr>
            <w:tcW w:w="7613" w:type="dxa"/>
            <w:vAlign w:val="center"/>
          </w:tcPr>
          <w:p w:rsidR="003919C4" w:rsidRPr="00F032F7" w:rsidRDefault="003919C4" w:rsidP="003919C4">
            <w:pPr>
              <w:numPr>
                <w:ilvl w:val="0"/>
                <w:numId w:val="1"/>
              </w:numPr>
              <w:spacing w:after="100" w:afterAutospacing="1" w:line="240" w:lineRule="auto"/>
              <w:contextualSpacing/>
              <w:rPr>
                <w:rFonts w:eastAsia="Calibri"/>
                <w:i w:val="0"/>
                <w:iCs w:val="0"/>
                <w:sz w:val="24"/>
                <w:szCs w:val="24"/>
                <w:lang w:val="tr-TR"/>
              </w:rPr>
            </w:pPr>
            <w:r w:rsidRPr="00F032F7">
              <w:rPr>
                <w:b/>
                <w:i w:val="0"/>
                <w:sz w:val="24"/>
                <w:szCs w:val="24"/>
                <w:lang w:val="tr-TR"/>
              </w:rPr>
              <w:t xml:space="preserve">Toplu Barınma Merkezlerinin (Genel Maksat Çadırlarının) Kurulumu </w:t>
            </w:r>
          </w:p>
          <w:p w:rsidR="003919C4" w:rsidRPr="00F032F7" w:rsidRDefault="003919C4" w:rsidP="00E20BCC">
            <w:pPr>
              <w:spacing w:after="100" w:afterAutospacing="1" w:line="240" w:lineRule="auto"/>
              <w:jc w:val="both"/>
              <w:rPr>
                <w:rFonts w:eastAsia="Calibri"/>
                <w:i w:val="0"/>
                <w:iCs w:val="0"/>
                <w:sz w:val="24"/>
                <w:szCs w:val="24"/>
                <w:lang w:val="tr-TR"/>
              </w:rPr>
            </w:pPr>
            <w:r w:rsidRPr="00F032F7">
              <w:rPr>
                <w:rFonts w:eastAsia="Calibri"/>
                <w:i w:val="0"/>
                <w:iCs w:val="0"/>
                <w:sz w:val="24"/>
                <w:szCs w:val="24"/>
                <w:lang w:val="tr-TR"/>
              </w:rPr>
              <w:t xml:space="preserve">Afetin meydana geldiği andan itibaren öncelikli olarak engelli, hasta, hamile, yaşlı bireylerin ve çocuklar ile daha çok afetzedenin ilk etapta barındırılması amacıyla genel maksat çadırlarının kurulumunu yapar. </w:t>
            </w:r>
            <w:proofErr w:type="spellStart"/>
            <w:r w:rsidRPr="00F032F7">
              <w:rPr>
                <w:rFonts w:eastAsia="Calibri"/>
                <w:i w:val="0"/>
                <w:iCs w:val="0"/>
                <w:sz w:val="24"/>
                <w:szCs w:val="24"/>
                <w:lang w:val="tr-TR"/>
              </w:rPr>
              <w:t>Çadırkentlerin</w:t>
            </w:r>
            <w:proofErr w:type="spellEnd"/>
            <w:r w:rsidRPr="00F032F7">
              <w:rPr>
                <w:rFonts w:eastAsia="Calibri"/>
                <w:i w:val="0"/>
                <w:iCs w:val="0"/>
                <w:sz w:val="24"/>
                <w:szCs w:val="24"/>
                <w:lang w:val="tr-TR"/>
              </w:rPr>
              <w:t xml:space="preserve"> kurulmasına müteakip </w:t>
            </w:r>
            <w:proofErr w:type="spellStart"/>
            <w:r w:rsidRPr="00F032F7">
              <w:rPr>
                <w:rFonts w:eastAsia="Calibri"/>
                <w:i w:val="0"/>
                <w:iCs w:val="0"/>
                <w:sz w:val="24"/>
                <w:szCs w:val="24"/>
                <w:lang w:val="tr-TR"/>
              </w:rPr>
              <w:t>GMÇ’ler</w:t>
            </w:r>
            <w:proofErr w:type="spellEnd"/>
            <w:r w:rsidRPr="00F032F7">
              <w:rPr>
                <w:rFonts w:eastAsia="Calibri"/>
                <w:i w:val="0"/>
                <w:iCs w:val="0"/>
                <w:sz w:val="24"/>
                <w:szCs w:val="24"/>
                <w:lang w:val="tr-TR"/>
              </w:rPr>
              <w:t xml:space="preserve"> boşaltılır. </w:t>
            </w:r>
          </w:p>
          <w:p w:rsidR="003919C4" w:rsidRPr="00F032F7" w:rsidRDefault="003919C4" w:rsidP="003919C4">
            <w:pPr>
              <w:numPr>
                <w:ilvl w:val="0"/>
                <w:numId w:val="1"/>
              </w:numPr>
              <w:spacing w:after="100" w:afterAutospacing="1" w:line="240" w:lineRule="auto"/>
              <w:contextualSpacing/>
              <w:jc w:val="both"/>
              <w:rPr>
                <w:rFonts w:eastAsia="Calibri"/>
                <w:i w:val="0"/>
                <w:iCs w:val="0"/>
                <w:sz w:val="24"/>
                <w:szCs w:val="24"/>
                <w:lang w:val="tr-TR"/>
              </w:rPr>
            </w:pPr>
            <w:proofErr w:type="spellStart"/>
            <w:r w:rsidRPr="00F032F7">
              <w:rPr>
                <w:b/>
                <w:i w:val="0"/>
                <w:sz w:val="24"/>
                <w:szCs w:val="24"/>
                <w:lang w:val="tr-TR"/>
              </w:rPr>
              <w:t>Çadırkent</w:t>
            </w:r>
            <w:proofErr w:type="spellEnd"/>
            <w:r w:rsidRPr="00F032F7">
              <w:rPr>
                <w:b/>
                <w:i w:val="0"/>
                <w:sz w:val="24"/>
                <w:szCs w:val="24"/>
                <w:lang w:val="tr-TR"/>
              </w:rPr>
              <w:t xml:space="preserve"> Kurulumu</w:t>
            </w:r>
          </w:p>
          <w:p w:rsidR="003919C4" w:rsidRPr="00F032F7" w:rsidRDefault="003919C4" w:rsidP="00E20BCC">
            <w:pPr>
              <w:spacing w:after="100" w:afterAutospacing="1" w:line="240" w:lineRule="auto"/>
              <w:contextualSpacing/>
              <w:jc w:val="both"/>
              <w:rPr>
                <w:rFonts w:eastAsia="Calibri"/>
                <w:i w:val="0"/>
                <w:iCs w:val="0"/>
                <w:sz w:val="24"/>
                <w:szCs w:val="24"/>
                <w:lang w:val="tr-TR"/>
              </w:rPr>
            </w:pPr>
            <w:r w:rsidRPr="00F032F7">
              <w:rPr>
                <w:rFonts w:eastAsia="Calibri"/>
                <w:i w:val="0"/>
                <w:iCs w:val="0"/>
                <w:sz w:val="24"/>
                <w:szCs w:val="24"/>
                <w:lang w:val="tr-TR"/>
              </w:rPr>
              <w:t xml:space="preserve">Afetzedelerin temel ihtiyaçlarını daha rahat ve sistemli bir şekilde karşılayabilmek adına daha önceden belirlenmiş olan alanlarda </w:t>
            </w:r>
            <w:proofErr w:type="spellStart"/>
            <w:r w:rsidRPr="00F032F7">
              <w:rPr>
                <w:rFonts w:eastAsia="Calibri"/>
                <w:i w:val="0"/>
                <w:iCs w:val="0"/>
                <w:sz w:val="24"/>
                <w:szCs w:val="24"/>
                <w:lang w:val="tr-TR"/>
              </w:rPr>
              <w:t>Çadırkent</w:t>
            </w:r>
            <w:proofErr w:type="spellEnd"/>
            <w:r w:rsidRPr="00F032F7">
              <w:rPr>
                <w:rFonts w:eastAsia="Calibri"/>
                <w:i w:val="0"/>
                <w:iCs w:val="0"/>
                <w:sz w:val="24"/>
                <w:szCs w:val="24"/>
                <w:lang w:val="tr-TR"/>
              </w:rPr>
              <w:t xml:space="preserve"> kurulumunu yapar. Kurulan </w:t>
            </w:r>
            <w:proofErr w:type="spellStart"/>
            <w:r w:rsidRPr="00F032F7">
              <w:rPr>
                <w:rFonts w:eastAsia="Calibri"/>
                <w:i w:val="0"/>
                <w:iCs w:val="0"/>
                <w:sz w:val="24"/>
                <w:szCs w:val="24"/>
                <w:lang w:val="tr-TR"/>
              </w:rPr>
              <w:t>çadırkentlere</w:t>
            </w:r>
            <w:proofErr w:type="spellEnd"/>
            <w:r w:rsidRPr="00F032F7">
              <w:rPr>
                <w:rFonts w:eastAsia="Calibri"/>
                <w:i w:val="0"/>
                <w:iCs w:val="0"/>
                <w:sz w:val="24"/>
                <w:szCs w:val="24"/>
                <w:lang w:val="tr-TR"/>
              </w:rPr>
              <w:t>, barınması sağlanamayan afetzedeler ile toplu barınma merkezlerinde kalan afetzedeler yerleştirilir.</w:t>
            </w:r>
          </w:p>
        </w:tc>
      </w:tr>
      <w:tr w:rsidR="003919C4" w:rsidRPr="00F032F7" w:rsidTr="00E20BCC">
        <w:trPr>
          <w:trHeight w:val="958"/>
        </w:trPr>
        <w:tc>
          <w:tcPr>
            <w:tcW w:w="2243" w:type="dxa"/>
            <w:vAlign w:val="center"/>
          </w:tcPr>
          <w:p w:rsidR="003919C4" w:rsidRPr="00F032F7" w:rsidRDefault="003919C4" w:rsidP="00E20BCC">
            <w:pPr>
              <w:spacing w:after="100" w:afterAutospacing="1" w:line="240" w:lineRule="auto"/>
              <w:jc w:val="center"/>
              <w:rPr>
                <w:b/>
                <w:i w:val="0"/>
                <w:sz w:val="24"/>
                <w:szCs w:val="24"/>
                <w:lang w:val="tr-TR"/>
              </w:rPr>
            </w:pPr>
            <w:r w:rsidRPr="00F032F7">
              <w:rPr>
                <w:b/>
                <w:i w:val="0"/>
                <w:sz w:val="24"/>
                <w:szCs w:val="24"/>
                <w:lang w:val="tr-TR"/>
              </w:rPr>
              <w:t>WC Konteyner Kurulum Ekipleri:</w:t>
            </w:r>
          </w:p>
        </w:tc>
        <w:tc>
          <w:tcPr>
            <w:tcW w:w="7613" w:type="dxa"/>
            <w:vAlign w:val="center"/>
          </w:tcPr>
          <w:p w:rsidR="003919C4" w:rsidRPr="00F032F7" w:rsidRDefault="003919C4" w:rsidP="00E20BCC">
            <w:pPr>
              <w:spacing w:after="100" w:afterAutospacing="1" w:line="240" w:lineRule="auto"/>
              <w:jc w:val="both"/>
              <w:rPr>
                <w:b/>
                <w:i w:val="0"/>
                <w:sz w:val="24"/>
                <w:szCs w:val="24"/>
                <w:lang w:val="tr-TR"/>
              </w:rPr>
            </w:pPr>
            <w:r w:rsidRPr="00F032F7">
              <w:rPr>
                <w:rFonts w:eastAsia="Calibri"/>
                <w:i w:val="0"/>
                <w:iCs w:val="0"/>
                <w:sz w:val="24"/>
                <w:szCs w:val="24"/>
                <w:lang w:val="tr-TR"/>
              </w:rPr>
              <w:t>Genel Maksat Çadırı ile eşzamanlı olarak afetzedelerin WC ihtiyaçlarının karşılanması amacıyla 2 Genel Maksat Çadırına 1 WC konteyneri düşecek şekilde WC Konteynerleri kurulumunu yapar.</w:t>
            </w:r>
          </w:p>
        </w:tc>
      </w:tr>
      <w:tr w:rsidR="003919C4" w:rsidRPr="00F032F7" w:rsidTr="00E20BCC">
        <w:trPr>
          <w:trHeight w:val="567"/>
        </w:trPr>
        <w:tc>
          <w:tcPr>
            <w:tcW w:w="2243" w:type="dxa"/>
            <w:vAlign w:val="center"/>
          </w:tcPr>
          <w:p w:rsidR="003919C4" w:rsidRPr="00F032F7" w:rsidRDefault="003919C4" w:rsidP="00E20BCC">
            <w:pPr>
              <w:spacing w:after="100" w:afterAutospacing="1" w:line="240" w:lineRule="auto"/>
              <w:jc w:val="center"/>
              <w:rPr>
                <w:b/>
                <w:i w:val="0"/>
                <w:sz w:val="24"/>
                <w:szCs w:val="24"/>
                <w:lang w:val="tr-TR"/>
              </w:rPr>
            </w:pPr>
            <w:r w:rsidRPr="00F032F7">
              <w:rPr>
                <w:b/>
                <w:i w:val="0"/>
                <w:sz w:val="24"/>
                <w:szCs w:val="24"/>
                <w:lang w:val="tr-TR"/>
              </w:rPr>
              <w:t>Çadır İçi Malzeme Dağıtım Ekipleri</w:t>
            </w:r>
          </w:p>
        </w:tc>
        <w:tc>
          <w:tcPr>
            <w:tcW w:w="7613" w:type="dxa"/>
            <w:vAlign w:val="center"/>
          </w:tcPr>
          <w:p w:rsidR="003919C4" w:rsidRPr="00F032F7" w:rsidRDefault="003919C4" w:rsidP="00E20BCC">
            <w:pPr>
              <w:spacing w:after="100" w:afterAutospacing="1" w:line="240" w:lineRule="auto"/>
              <w:jc w:val="both"/>
              <w:rPr>
                <w:rFonts w:eastAsia="Calibri"/>
                <w:i w:val="0"/>
                <w:iCs w:val="0"/>
                <w:sz w:val="24"/>
                <w:szCs w:val="24"/>
                <w:lang w:val="tr-TR"/>
              </w:rPr>
            </w:pPr>
            <w:r w:rsidRPr="00F032F7">
              <w:rPr>
                <w:rFonts w:eastAsia="Calibri"/>
                <w:i w:val="0"/>
                <w:iCs w:val="0"/>
                <w:sz w:val="24"/>
                <w:szCs w:val="24"/>
                <w:lang w:val="tr-TR"/>
              </w:rPr>
              <w:t>Çadırların içerisinde kullanılmak üzere asgari yaşam şartlarını sağlayacak gerekli çadır içi malzemelerin dağıtımı yapar.</w:t>
            </w:r>
          </w:p>
        </w:tc>
      </w:tr>
      <w:tr w:rsidR="003919C4" w:rsidRPr="00F032F7" w:rsidTr="00E20BCC">
        <w:trPr>
          <w:trHeight w:val="567"/>
        </w:trPr>
        <w:tc>
          <w:tcPr>
            <w:tcW w:w="2243" w:type="dxa"/>
            <w:vAlign w:val="center"/>
          </w:tcPr>
          <w:p w:rsidR="003919C4" w:rsidRPr="00F032F7" w:rsidRDefault="003919C4" w:rsidP="00E20BCC">
            <w:pPr>
              <w:spacing w:after="100" w:afterAutospacing="1" w:line="240" w:lineRule="auto"/>
              <w:jc w:val="center"/>
              <w:rPr>
                <w:b/>
                <w:i w:val="0"/>
                <w:sz w:val="24"/>
                <w:szCs w:val="24"/>
                <w:lang w:val="tr-TR"/>
              </w:rPr>
            </w:pPr>
            <w:r w:rsidRPr="00F032F7">
              <w:rPr>
                <w:b/>
                <w:i w:val="0"/>
                <w:sz w:val="24"/>
                <w:szCs w:val="24"/>
                <w:lang w:val="tr-TR"/>
              </w:rPr>
              <w:t>Çadır Dağıtım Ekipleri</w:t>
            </w:r>
          </w:p>
        </w:tc>
        <w:tc>
          <w:tcPr>
            <w:tcW w:w="7613" w:type="dxa"/>
            <w:vAlign w:val="center"/>
          </w:tcPr>
          <w:p w:rsidR="003919C4" w:rsidRPr="00F032F7" w:rsidRDefault="003919C4" w:rsidP="00E20BCC">
            <w:pPr>
              <w:spacing w:after="100" w:afterAutospacing="1" w:line="240" w:lineRule="auto"/>
              <w:jc w:val="both"/>
              <w:rPr>
                <w:rFonts w:eastAsia="Calibri"/>
                <w:i w:val="0"/>
                <w:iCs w:val="0"/>
                <w:sz w:val="24"/>
                <w:szCs w:val="24"/>
                <w:lang w:val="tr-TR"/>
              </w:rPr>
            </w:pPr>
            <w:r w:rsidRPr="00F032F7">
              <w:rPr>
                <w:rFonts w:eastAsia="Calibri"/>
                <w:i w:val="0"/>
                <w:iCs w:val="0"/>
                <w:sz w:val="24"/>
                <w:szCs w:val="24"/>
                <w:lang w:val="tr-TR"/>
              </w:rPr>
              <w:t>Çadır kent kurulamayan alanlarda lojistik depolardan afet bölgesine sevkiyatı yapılan aile çadırlarının, afetzedelere dağıtımını yapar.</w:t>
            </w:r>
          </w:p>
        </w:tc>
      </w:tr>
      <w:tr w:rsidR="003919C4" w:rsidRPr="00F032F7" w:rsidTr="00E20BCC">
        <w:trPr>
          <w:trHeight w:val="567"/>
        </w:trPr>
        <w:tc>
          <w:tcPr>
            <w:tcW w:w="2243" w:type="dxa"/>
            <w:vAlign w:val="center"/>
          </w:tcPr>
          <w:p w:rsidR="003919C4" w:rsidRPr="00F032F7" w:rsidRDefault="003919C4" w:rsidP="00E20BCC">
            <w:pPr>
              <w:spacing w:after="100" w:afterAutospacing="1" w:line="240" w:lineRule="auto"/>
              <w:jc w:val="center"/>
              <w:rPr>
                <w:b/>
                <w:i w:val="0"/>
                <w:sz w:val="24"/>
                <w:szCs w:val="24"/>
                <w:lang w:val="tr-TR"/>
              </w:rPr>
            </w:pPr>
            <w:r w:rsidRPr="00F032F7">
              <w:rPr>
                <w:b/>
                <w:i w:val="0"/>
                <w:sz w:val="24"/>
                <w:szCs w:val="24"/>
                <w:lang w:val="tr-TR"/>
              </w:rPr>
              <w:t>Konteyner Dağıtım ve Kurulum Ekipleri</w:t>
            </w:r>
          </w:p>
        </w:tc>
        <w:tc>
          <w:tcPr>
            <w:tcW w:w="7613" w:type="dxa"/>
            <w:vAlign w:val="center"/>
          </w:tcPr>
          <w:p w:rsidR="003919C4" w:rsidRPr="00F032F7" w:rsidRDefault="003919C4" w:rsidP="00E20BCC">
            <w:pPr>
              <w:spacing w:after="100" w:afterAutospacing="1" w:line="240" w:lineRule="auto"/>
              <w:jc w:val="both"/>
              <w:rPr>
                <w:rFonts w:eastAsia="Calibri"/>
                <w:i w:val="0"/>
                <w:iCs w:val="0"/>
                <w:sz w:val="24"/>
                <w:szCs w:val="24"/>
                <w:lang w:val="tr-TR"/>
              </w:rPr>
            </w:pPr>
            <w:proofErr w:type="spellStart"/>
            <w:r w:rsidRPr="00F032F7">
              <w:rPr>
                <w:i w:val="0"/>
                <w:sz w:val="24"/>
                <w:szCs w:val="24"/>
                <w:lang w:val="tr-TR"/>
              </w:rPr>
              <w:t>Konteynerkent</w:t>
            </w:r>
            <w:proofErr w:type="spellEnd"/>
            <w:r w:rsidRPr="00F032F7">
              <w:rPr>
                <w:i w:val="0"/>
                <w:sz w:val="24"/>
                <w:szCs w:val="24"/>
                <w:lang w:val="tr-TR"/>
              </w:rPr>
              <w:t xml:space="preserve"> kurulamayan alanlarda afetzedelere konteyner dağıtım ve kurulum hizmetlerinin yürütülmesini sağlar.</w:t>
            </w:r>
          </w:p>
        </w:tc>
      </w:tr>
      <w:tr w:rsidR="003919C4" w:rsidRPr="00F032F7" w:rsidTr="00E20BCC">
        <w:trPr>
          <w:trHeight w:val="882"/>
        </w:trPr>
        <w:tc>
          <w:tcPr>
            <w:tcW w:w="2243" w:type="dxa"/>
            <w:vAlign w:val="center"/>
          </w:tcPr>
          <w:p w:rsidR="003919C4" w:rsidRPr="00F032F7" w:rsidRDefault="003919C4" w:rsidP="00E20BCC">
            <w:pPr>
              <w:spacing w:after="100" w:afterAutospacing="1" w:line="240" w:lineRule="auto"/>
              <w:jc w:val="center"/>
              <w:rPr>
                <w:b/>
                <w:i w:val="0"/>
                <w:sz w:val="24"/>
                <w:szCs w:val="24"/>
                <w:lang w:val="tr-TR"/>
              </w:rPr>
            </w:pPr>
            <w:r w:rsidRPr="00F032F7">
              <w:rPr>
                <w:b/>
                <w:i w:val="0"/>
                <w:sz w:val="24"/>
                <w:szCs w:val="24"/>
                <w:lang w:val="tr-TR"/>
              </w:rPr>
              <w:t>Konteyner Kurulum Koordinasyon Ekipleri</w:t>
            </w:r>
          </w:p>
        </w:tc>
        <w:tc>
          <w:tcPr>
            <w:tcW w:w="7613" w:type="dxa"/>
            <w:vAlign w:val="center"/>
          </w:tcPr>
          <w:p w:rsidR="003919C4" w:rsidRPr="00F032F7" w:rsidRDefault="003919C4" w:rsidP="00E20BCC">
            <w:pPr>
              <w:spacing w:after="100" w:afterAutospacing="1" w:line="240" w:lineRule="auto"/>
              <w:jc w:val="both"/>
              <w:rPr>
                <w:i w:val="0"/>
                <w:sz w:val="24"/>
                <w:szCs w:val="24"/>
                <w:lang w:val="tr-TR"/>
              </w:rPr>
            </w:pPr>
            <w:r w:rsidRPr="00F032F7">
              <w:rPr>
                <w:i w:val="0"/>
                <w:sz w:val="24"/>
                <w:szCs w:val="24"/>
                <w:lang w:val="tr-TR"/>
              </w:rPr>
              <w:t xml:space="preserve">Konteyner kentlerin kurulum iş ve işlemlerinin koordinasyonunda görev alır. </w:t>
            </w:r>
          </w:p>
        </w:tc>
      </w:tr>
      <w:tr w:rsidR="003919C4" w:rsidRPr="00F032F7" w:rsidTr="00E20BCC">
        <w:trPr>
          <w:trHeight w:val="884"/>
        </w:trPr>
        <w:tc>
          <w:tcPr>
            <w:tcW w:w="2243" w:type="dxa"/>
            <w:vAlign w:val="center"/>
          </w:tcPr>
          <w:p w:rsidR="003919C4" w:rsidRPr="00F032F7" w:rsidRDefault="003919C4" w:rsidP="00E20BCC">
            <w:pPr>
              <w:spacing w:after="100" w:afterAutospacing="1" w:line="240" w:lineRule="auto"/>
              <w:jc w:val="center"/>
              <w:rPr>
                <w:b/>
                <w:i w:val="0"/>
                <w:sz w:val="24"/>
                <w:szCs w:val="24"/>
                <w:lang w:val="tr-TR"/>
              </w:rPr>
            </w:pPr>
            <w:r w:rsidRPr="00F032F7">
              <w:rPr>
                <w:b/>
                <w:i w:val="0"/>
                <w:sz w:val="24"/>
                <w:szCs w:val="24"/>
                <w:lang w:val="tr-TR"/>
              </w:rPr>
              <w:t>Konteyner İçi Malzeme Dağıtım Ekipleri</w:t>
            </w:r>
          </w:p>
        </w:tc>
        <w:tc>
          <w:tcPr>
            <w:tcW w:w="7613" w:type="dxa"/>
            <w:vAlign w:val="center"/>
          </w:tcPr>
          <w:p w:rsidR="003919C4" w:rsidRPr="00F032F7" w:rsidRDefault="003919C4" w:rsidP="00E20BCC">
            <w:pPr>
              <w:spacing w:after="100" w:afterAutospacing="1" w:line="240" w:lineRule="auto"/>
              <w:jc w:val="both"/>
              <w:rPr>
                <w:i w:val="0"/>
                <w:sz w:val="24"/>
                <w:szCs w:val="24"/>
                <w:lang w:val="tr-TR"/>
              </w:rPr>
            </w:pPr>
            <w:r w:rsidRPr="00F032F7">
              <w:rPr>
                <w:i w:val="0"/>
                <w:sz w:val="24"/>
                <w:szCs w:val="24"/>
                <w:lang w:val="tr-TR"/>
              </w:rPr>
              <w:t>Konteyner içi malzeme dağıtım hizmetlerinin yürütülmesini sağlar.</w:t>
            </w:r>
          </w:p>
        </w:tc>
      </w:tr>
      <w:tr w:rsidR="003919C4" w:rsidRPr="00F032F7" w:rsidTr="00E20BCC">
        <w:trPr>
          <w:trHeight w:val="1169"/>
        </w:trPr>
        <w:tc>
          <w:tcPr>
            <w:tcW w:w="2243" w:type="dxa"/>
            <w:vAlign w:val="center"/>
          </w:tcPr>
          <w:p w:rsidR="003919C4" w:rsidRPr="00F032F7" w:rsidRDefault="003919C4" w:rsidP="00E20BCC">
            <w:pPr>
              <w:spacing w:after="100" w:afterAutospacing="1" w:line="240" w:lineRule="auto"/>
              <w:jc w:val="center"/>
              <w:rPr>
                <w:b/>
                <w:i w:val="0"/>
                <w:sz w:val="24"/>
                <w:szCs w:val="24"/>
                <w:lang w:val="tr-TR"/>
              </w:rPr>
            </w:pPr>
            <w:r w:rsidRPr="00F032F7">
              <w:rPr>
                <w:b/>
                <w:i w:val="0"/>
                <w:sz w:val="24"/>
                <w:szCs w:val="24"/>
                <w:lang w:val="tr-TR"/>
              </w:rPr>
              <w:t>Yönetim Ekipleri</w:t>
            </w:r>
          </w:p>
        </w:tc>
        <w:tc>
          <w:tcPr>
            <w:tcW w:w="7613" w:type="dxa"/>
            <w:vAlign w:val="center"/>
          </w:tcPr>
          <w:p w:rsidR="003919C4" w:rsidRPr="00F032F7" w:rsidRDefault="003919C4" w:rsidP="00E20BCC">
            <w:pPr>
              <w:spacing w:after="100" w:afterAutospacing="1" w:line="240" w:lineRule="auto"/>
              <w:jc w:val="both"/>
              <w:rPr>
                <w:i w:val="0"/>
                <w:sz w:val="24"/>
                <w:szCs w:val="24"/>
                <w:lang w:val="tr-TR"/>
              </w:rPr>
            </w:pPr>
            <w:r w:rsidRPr="00F032F7">
              <w:rPr>
                <w:i w:val="0"/>
                <w:sz w:val="24"/>
                <w:szCs w:val="24"/>
                <w:lang w:val="tr-TR"/>
              </w:rPr>
              <w:t>Milli Eğitim Bakanlığı’nın görevlendireceği İl Milli Eğitim Müdürlüğü personeli çadır kent ve konteyner kentlerin yönetimini sağlar. Bununla birlikte sıhhi tesisat, elektrik tesisatı, kanalizasyon, kayıt kabul, muhasebe, yazı işleri, itfaiye, temizlik, güvenlik, sağlık, eğitim hizmetleri ve lojistik ekiplerden teşkil olunur.</w:t>
            </w:r>
          </w:p>
        </w:tc>
      </w:tr>
      <w:tr w:rsidR="003919C4" w:rsidRPr="00F032F7" w:rsidTr="00E20BCC">
        <w:trPr>
          <w:trHeight w:val="567"/>
        </w:trPr>
        <w:tc>
          <w:tcPr>
            <w:tcW w:w="2243" w:type="dxa"/>
            <w:vAlign w:val="center"/>
          </w:tcPr>
          <w:p w:rsidR="003919C4" w:rsidRPr="00F032F7" w:rsidRDefault="003919C4" w:rsidP="00E20BCC">
            <w:pPr>
              <w:spacing w:after="100" w:afterAutospacing="1" w:line="240" w:lineRule="auto"/>
              <w:jc w:val="center"/>
              <w:rPr>
                <w:b/>
                <w:i w:val="0"/>
                <w:sz w:val="24"/>
                <w:szCs w:val="24"/>
                <w:lang w:val="tr-TR"/>
              </w:rPr>
            </w:pPr>
            <w:r w:rsidRPr="00F032F7">
              <w:rPr>
                <w:b/>
                <w:i w:val="0"/>
                <w:sz w:val="24"/>
                <w:szCs w:val="24"/>
                <w:lang w:val="tr-TR"/>
              </w:rPr>
              <w:t>Çadır Lojistik Ekipleri</w:t>
            </w:r>
          </w:p>
        </w:tc>
        <w:tc>
          <w:tcPr>
            <w:tcW w:w="7613" w:type="dxa"/>
            <w:vAlign w:val="center"/>
          </w:tcPr>
          <w:p w:rsidR="003919C4" w:rsidRPr="00F032F7" w:rsidRDefault="003919C4" w:rsidP="00E20BCC">
            <w:pPr>
              <w:spacing w:after="100" w:afterAutospacing="1" w:line="240" w:lineRule="auto"/>
              <w:jc w:val="both"/>
              <w:rPr>
                <w:i w:val="0"/>
                <w:sz w:val="24"/>
                <w:szCs w:val="24"/>
                <w:lang w:val="tr-TR"/>
              </w:rPr>
            </w:pPr>
            <w:r w:rsidRPr="00F032F7">
              <w:rPr>
                <w:i w:val="0"/>
                <w:sz w:val="24"/>
                <w:szCs w:val="24"/>
                <w:lang w:val="tr-TR"/>
              </w:rPr>
              <w:t xml:space="preserve">Valilik tarafından görevlendirilen ekipler, afet bölgesinde oluşturulacak çadır lojistik alanlarında depolama, sevkiyat iş ve işlemlerini yürütülmesini sağlar. Gelen malzemeleri stoklar, tasnif eder ve nakliye araçlarına yükler. </w:t>
            </w:r>
          </w:p>
        </w:tc>
      </w:tr>
      <w:tr w:rsidR="003919C4" w:rsidRPr="00F032F7" w:rsidTr="00E20BCC">
        <w:trPr>
          <w:trHeight w:val="567"/>
        </w:trPr>
        <w:tc>
          <w:tcPr>
            <w:tcW w:w="2243" w:type="dxa"/>
            <w:vAlign w:val="center"/>
          </w:tcPr>
          <w:p w:rsidR="003919C4" w:rsidRPr="00F032F7" w:rsidRDefault="003919C4" w:rsidP="00E20BCC">
            <w:pPr>
              <w:spacing w:after="100" w:afterAutospacing="1" w:line="240" w:lineRule="auto"/>
              <w:jc w:val="center"/>
              <w:rPr>
                <w:b/>
                <w:i w:val="0"/>
                <w:sz w:val="24"/>
                <w:szCs w:val="24"/>
                <w:lang w:val="tr-TR"/>
              </w:rPr>
            </w:pPr>
            <w:r w:rsidRPr="00F032F7">
              <w:rPr>
                <w:b/>
                <w:i w:val="0"/>
                <w:sz w:val="24"/>
                <w:szCs w:val="24"/>
                <w:lang w:val="tr-TR"/>
              </w:rPr>
              <w:t>Konteyner Lojistik Ekipleri</w:t>
            </w:r>
          </w:p>
        </w:tc>
        <w:tc>
          <w:tcPr>
            <w:tcW w:w="7613" w:type="dxa"/>
            <w:vAlign w:val="center"/>
          </w:tcPr>
          <w:p w:rsidR="003919C4" w:rsidRPr="00F032F7" w:rsidRDefault="003919C4" w:rsidP="00E20BCC">
            <w:pPr>
              <w:spacing w:after="100" w:afterAutospacing="1" w:line="240" w:lineRule="auto"/>
              <w:rPr>
                <w:i w:val="0"/>
                <w:sz w:val="24"/>
                <w:szCs w:val="24"/>
                <w:lang w:val="tr-TR"/>
              </w:rPr>
            </w:pPr>
            <w:r w:rsidRPr="00F032F7">
              <w:rPr>
                <w:i w:val="0"/>
                <w:sz w:val="24"/>
                <w:szCs w:val="24"/>
                <w:lang w:val="tr-TR"/>
              </w:rPr>
              <w:t>Valilik tarafından görevlendirilen ekipler, afet bölgesinde oluşturulacak konteyner lojistik alanlarında depolama ile sevkiyat iş ve işlemlerini yürütülmesini sağlar.</w:t>
            </w:r>
          </w:p>
        </w:tc>
      </w:tr>
    </w:tbl>
    <w:p w:rsidR="00B72EB9" w:rsidRDefault="00B72EB9">
      <w:bookmarkStart w:id="0" w:name="_GoBack"/>
      <w:bookmarkEnd w:id="0"/>
    </w:p>
    <w:sectPr w:rsidR="00B72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311C"/>
    <w:multiLevelType w:val="hybridMultilevel"/>
    <w:tmpl w:val="379EF5D8"/>
    <w:lvl w:ilvl="0" w:tplc="29E8F896">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C4"/>
    <w:rsid w:val="003919C4"/>
    <w:rsid w:val="00B72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24505-5C39-450F-B2C3-F513F14D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C4"/>
    <w:pPr>
      <w:spacing w:after="200" w:line="288" w:lineRule="auto"/>
    </w:pPr>
    <w:rPr>
      <w:rFonts w:ascii="Calibri" w:eastAsia="Times New Roman" w:hAnsi="Calibri" w:cs="Times New Roman"/>
      <w:i/>
      <w:i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5">
    <w:name w:val="Tablo Kılavuzu5"/>
    <w:basedOn w:val="NormalTablo"/>
    <w:next w:val="TabloKlavuzu"/>
    <w:uiPriority w:val="39"/>
    <w:rsid w:val="003919C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39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2020-01-13T10:47:00Z</dcterms:created>
  <dcterms:modified xsi:type="dcterms:W3CDTF">2020-01-13T10:49:00Z</dcterms:modified>
</cp:coreProperties>
</file>